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EE0F53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31.01.2023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EE0F53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EE0F53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13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*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*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73259D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EE0F53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3190" w:type="dxa"/>
          </w:tcPr>
          <w:p w:rsidR="00C26A0D" w:rsidRPr="00407B17" w:rsidRDefault="00EE0F53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2976" w:type="dxa"/>
          </w:tcPr>
          <w:p w:rsidR="00C26A0D" w:rsidRPr="00407B17" w:rsidRDefault="00EE0F53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</w:tr>
    </w:tbl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1" w:name="Разрыв1"/>
      <w:bookmarkEnd w:id="1"/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en-US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C63EF0" w:rsidRDefault="00C63EF0" w:rsidP="00F2539D">
      <w:pPr>
        <w:jc w:val="both"/>
        <w:rPr>
          <w:rFonts w:cs="Times New Roman"/>
          <w:b/>
          <w:sz w:val="22"/>
          <w:szCs w:val="22"/>
          <w:lang w:val="en-US"/>
        </w:rPr>
      </w:pPr>
    </w:p>
    <w:p w:rsidR="00A431F2" w:rsidRDefault="00A431F2" w:rsidP="00F2539D">
      <w:pPr>
        <w:jc w:val="both"/>
        <w:rPr>
          <w:rFonts w:cs="Times New Roman"/>
          <w:b/>
          <w:sz w:val="22"/>
          <w:szCs w:val="22"/>
          <w:lang w:val="en-US"/>
        </w:rPr>
      </w:pPr>
    </w:p>
    <w:p w:rsidR="00A431F2" w:rsidRDefault="00A431F2" w:rsidP="00F2539D">
      <w:pPr>
        <w:jc w:val="both"/>
        <w:rPr>
          <w:rFonts w:cs="Times New Roman"/>
          <w:b/>
          <w:sz w:val="22"/>
          <w:szCs w:val="22"/>
          <w:lang w:val="en-US"/>
        </w:rPr>
      </w:pPr>
      <w:r>
        <w:rPr>
          <w:noProof/>
          <w:lang w:val="ru-RU" w:eastAsia="ru-RU" w:bidi="ar-SA"/>
        </w:rPr>
        <w:drawing>
          <wp:inline distT="0" distB="0" distL="0" distR="0" wp14:anchorId="7515EB96" wp14:editId="5BA25A33">
            <wp:extent cx="5939790" cy="3033395"/>
            <wp:effectExtent l="0" t="0" r="381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3EF0" w:rsidRDefault="00C63EF0" w:rsidP="00F2539D">
      <w:pPr>
        <w:jc w:val="both"/>
        <w:rPr>
          <w:rFonts w:cs="Times New Roman"/>
          <w:b/>
          <w:sz w:val="22"/>
          <w:szCs w:val="22"/>
          <w:lang w:val="en-US"/>
        </w:rPr>
      </w:pPr>
    </w:p>
    <w:p w:rsidR="00D86939" w:rsidRPr="00E83D67" w:rsidRDefault="00D86939" w:rsidP="00E83D67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D86939" w:rsidRPr="00E83D67" w:rsidRDefault="00D86939" w:rsidP="00E83D67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 и погашения инвестиционных паёв и в связи с тем, что в результате этого стоимость активов Фонда не рассчитывается.</w:t>
      </w: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</w:p>
    <w:p w:rsidR="00D86939" w:rsidRPr="00E83D67" w:rsidRDefault="004354AE" w:rsidP="00E83D67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E83D67">
        <w:rPr>
          <w:rFonts w:cs="Times New Roman"/>
          <w:iCs/>
          <w:kern w:val="0"/>
          <w:sz w:val="16"/>
          <w:szCs w:val="16"/>
          <w:lang w:val="ru-RU" w:eastAsia="en-US" w:bidi="ar-SA"/>
        </w:rPr>
        <w:t>** Доходность за 2022 год отражает результат за период с 01.01.2022 г. по 28.02.2022 г. по причине временного приостановления выдачи и погашения инвестиционных паёв Фонда и в связи с тем, что в результате этого стоимость активов Фонда не рассчитывается.</w:t>
      </w:r>
    </w:p>
    <w:p w:rsidR="00D86939" w:rsidRPr="00D86939" w:rsidRDefault="00D86939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86939" w:rsidRPr="00D86939" w:rsidRDefault="00D86939" w:rsidP="00F2539D">
      <w:pPr>
        <w:jc w:val="both"/>
        <w:rPr>
          <w:rFonts w:cs="Times New Roman"/>
          <w:sz w:val="22"/>
          <w:szCs w:val="22"/>
          <w:lang w:val="ru-RU"/>
        </w:rPr>
      </w:pPr>
    </w:p>
    <w:bookmarkStart w:id="3" w:name="Разрыв5"/>
    <w:bookmarkEnd w:id="3"/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4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23172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23172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23172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23172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23172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23172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EE0F53"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23172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4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5" w:name="Разрыв3"/>
      <w:bookmarkEnd w:id="5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E0F53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E0F53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73259D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E0F53"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EE0F53">
              <w:rPr>
                <w:rFonts w:cs="Times New Roman"/>
                <w:sz w:val="22"/>
                <w:szCs w:val="22"/>
                <w:lang w:val="ru-RU"/>
              </w:rPr>
              <w:t>16,8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EE0F53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90135E" w:rsidRPr="00B32932">
        <w:rPr>
          <w:b/>
          <w:color w:val="000000"/>
          <w:lang w:val="ru-RU"/>
        </w:rPr>
        <w:fldChar w:fldCharType="separate"/>
      </w:r>
      <w:r w:rsidR="00EE0F53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EE0F53" w:rsidRDefault="00B32932" w:rsidP="00B32932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EE0F53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32932" w:rsidRPr="00B32932" w:rsidRDefault="00EE0F53" w:rsidP="00B32932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 и погашения инвестиционных паёв и в связи с тем, что в результате этого стоимость активов Фонда не рассчитывается.</w:t>
      </w:r>
      <w:r w:rsidR="00B32932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EE0F53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br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EE0F53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EE0F53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EE0F53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EE0F53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53" w:rsidRDefault="00EE0F53" w:rsidP="00F2539D">
      <w:r>
        <w:separator/>
      </w:r>
    </w:p>
  </w:endnote>
  <w:endnote w:type="continuationSeparator" w:id="0">
    <w:p w:rsidR="00EE0F53" w:rsidRDefault="00EE0F53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67" w:rsidRPr="00E83D67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53" w:rsidRDefault="00EE0F53" w:rsidP="00F2539D">
      <w:r>
        <w:separator/>
      </w:r>
    </w:p>
  </w:footnote>
  <w:footnote w:type="continuationSeparator" w:id="0">
    <w:p w:rsidR="00EE0F53" w:rsidRDefault="00EE0F53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1.2023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-"/>
    <w:docVar w:name="ДоляКрупнейшегоОбъектаИнвестирования2" w:val="-"/>
    <w:docVar w:name="ДоляКрупнейшегоОбъектаИнвестирования3" w:val="-"/>
    <w:docVar w:name="ДоляКрупнейшегоОбъектаИнвестирования4" w:val="-"/>
    <w:docVar w:name="ДоляКрупнейшегоОбъектаИнвестирования5" w:val="-"/>
    <w:docVar w:name="Доходность1Год" w:val="-"/>
    <w:docVar w:name="Доходность1Месяц" w:val="-"/>
    <w:docVar w:name="Доходность3Года" w:val="-"/>
    <w:docVar w:name="Доходность3Месяца" w:val="-"/>
    <w:docVar w:name="Доходность5Лет" w:val="-"/>
    <w:docVar w:name="Доходность6Месяцев" w:val="-"/>
    <w:docVar w:name="Звездочка" w:val="*"/>
    <w:docVar w:name="КоличествоОбъектовИнвестирования" w:val="13"/>
    <w:docVar w:name="КрупнейшийОбъектИнвестирования1" w:val="-"/>
    <w:docVar w:name="КрупнейшийОбъектИнвестирования2" w:val="-"/>
    <w:docVar w:name="КрупнейшийОбъектИнвестирования3" w:val="-"/>
    <w:docVar w:name="КрупнейшийОбъектИнвестирования4" w:val="-"/>
    <w:docVar w:name="КрупнейшийОбъектИнвестирования5" w:val="-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"/>
    <w:docVar w:name="ОтклонениеОтИнфляции1Месяц" w:val="-"/>
    <w:docVar w:name="ОтклонениеОтИнфляции3Года" w:val="-"/>
    <w:docVar w:name="ОтклонениеОтИнфляции3Месяца" w:val="-"/>
    <w:docVar w:name="ОтклонениеОтИнфляции5Лет" w:val="-"/>
    <w:docVar w:name="ОтклонениеОтИнфляции6Месяцев" w:val="-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6,8"/>
    <w:docVar w:name="ПроцентВознагражденияПрочие" w:val="15"/>
    <w:docVar w:name="ПроцентВознагражденияСД" w:val="1,3"/>
    <w:docVar w:name="ПроцентВознагражденияУК" w:val="0,5"/>
    <w:docVar w:name="СтоимостьПая" w:val="-"/>
    <w:docVar w:name="СЧА" w:val="-"/>
    <w:docVar w:name="ТекстПриостановленногоПИФ" w:val="_____________________________x000d_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1727"/>
    <w:rsid w:val="0023537F"/>
    <w:rsid w:val="00287B51"/>
    <w:rsid w:val="00295CAF"/>
    <w:rsid w:val="0029728F"/>
    <w:rsid w:val="002A38DB"/>
    <w:rsid w:val="002C338F"/>
    <w:rsid w:val="002C4BA8"/>
    <w:rsid w:val="002D5CC2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354AE"/>
    <w:rsid w:val="0045784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259D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431F2"/>
    <w:rsid w:val="00A50BA0"/>
    <w:rsid w:val="00A52F83"/>
    <w:rsid w:val="00A55ED9"/>
    <w:rsid w:val="00A60087"/>
    <w:rsid w:val="00A67BB7"/>
    <w:rsid w:val="00A86D54"/>
    <w:rsid w:val="00AA1E52"/>
    <w:rsid w:val="00AA382B"/>
    <w:rsid w:val="00AD04F9"/>
    <w:rsid w:val="00AD5049"/>
    <w:rsid w:val="00AE03B1"/>
    <w:rsid w:val="00B04BF1"/>
    <w:rsid w:val="00B135EF"/>
    <w:rsid w:val="00B32932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63EF0"/>
    <w:rsid w:val="00C851D5"/>
    <w:rsid w:val="00CC14FD"/>
    <w:rsid w:val="00CE04BA"/>
    <w:rsid w:val="00D01A0B"/>
    <w:rsid w:val="00D03E54"/>
    <w:rsid w:val="00D17ECB"/>
    <w:rsid w:val="00D22B65"/>
    <w:rsid w:val="00D54F5C"/>
    <w:rsid w:val="00D55E71"/>
    <w:rsid w:val="00D723DD"/>
    <w:rsid w:val="00D76792"/>
    <w:rsid w:val="00D86939"/>
    <w:rsid w:val="00D927BD"/>
    <w:rsid w:val="00DF70C0"/>
    <w:rsid w:val="00E02C1C"/>
    <w:rsid w:val="00E13A66"/>
    <w:rsid w:val="00E763C7"/>
    <w:rsid w:val="00E83D67"/>
    <w:rsid w:val="00E8487A"/>
    <w:rsid w:val="00ED25AD"/>
    <w:rsid w:val="00ED7CA6"/>
    <w:rsid w:val="00EE0F53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  <w:style w:type="paragraph" w:customStyle="1" w:styleId="ConsPlusNormal">
    <w:name w:val="ConsPlusNormal"/>
    <w:rsid w:val="00D86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1\shares\UK\Client\&#1056;&#1077;&#1075;&#1080;&#1086;&#1085;&#1069;&#1089;&#1052;\&#1054;&#1058;&#1044;&#1045;&#1051;%20&#1050;&#1054;&#1053;&#1058;&#1056;&#1054;&#1051;&#1071;\&#1056;&#1072;&#1089;&#1082;&#1088;&#1099;&#1090;&#1080;&#1077;%20&#1080;&#1085;&#1092;&#1086;&#1088;&#1084;&#1072;&#1094;&#1080;&#1080;\5609-&#1059;\&#1050;&#1048;&#1044;\2023-01-31\&#1056;&#1072;&#1089;&#1095;&#1077;&#1090;%20&#1086;&#1090;&#1082;&#1083;&#1086;&#1085;&#1077;&#1085;&#1080;&#1081;%20&#1087;&#1086;%20&#1080;&#1085;&#1092;&#1083;&#1103;&#1094;&#1080;&#1080;%202023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Доходность за календарный год,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Лист2!$A$4:$A$8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2022** (период с 01.01.2022 г. по 28.02.2022 г.).</c:v>
                </c:pt>
              </c:strCache>
            </c:strRef>
          </c:cat>
          <c:val>
            <c:numRef>
              <c:f>Лист2!$B$4:$B$8</c:f>
              <c:numCache>
                <c:formatCode>General</c:formatCode>
                <c:ptCount val="5"/>
                <c:pt idx="0">
                  <c:v>13.91</c:v>
                </c:pt>
                <c:pt idx="1">
                  <c:v>-0.43</c:v>
                </c:pt>
                <c:pt idx="2">
                  <c:v>20.84</c:v>
                </c:pt>
                <c:pt idx="3">
                  <c:v>-1.28</c:v>
                </c:pt>
                <c:pt idx="4">
                  <c:v>-35.75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901848"/>
        <c:axId val="265903808"/>
      </c:barChart>
      <c:catAx>
        <c:axId val="26590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903808"/>
        <c:crosses val="autoZero"/>
        <c:auto val="1"/>
        <c:lblAlgn val="ctr"/>
        <c:lblOffset val="100"/>
        <c:noMultiLvlLbl val="0"/>
      </c:catAx>
      <c:valAx>
        <c:axId val="26590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901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A052-2B22-4215-BBAF-AD96B33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6</cp:revision>
  <dcterms:created xsi:type="dcterms:W3CDTF">2023-02-10T08:11:00Z</dcterms:created>
  <dcterms:modified xsi:type="dcterms:W3CDTF">2023-02-10T09:18:00Z</dcterms:modified>
</cp:coreProperties>
</file>